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CE" w:rsidRDefault="005565CE">
      <w:pPr>
        <w:pStyle w:val="a5"/>
        <w:shd w:val="clear" w:color="auto" w:fill="FFFFFF"/>
        <w:spacing w:before="0" w:beforeAutospacing="0" w:after="0" w:afterAutospacing="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</w:p>
    <w:p w:rsidR="005565CE" w:rsidRDefault="005565CE">
      <w:pPr>
        <w:pStyle w:val="a5"/>
        <w:shd w:val="clear" w:color="auto" w:fill="FFFFFF"/>
        <w:spacing w:before="188" w:beforeAutospacing="0" w:after="0" w:afterAutospacing="0" w:line="600" w:lineRule="exact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</w:p>
    <w:p w:rsidR="005565CE" w:rsidRDefault="005565CE">
      <w:pPr>
        <w:pStyle w:val="a5"/>
        <w:shd w:val="clear" w:color="auto" w:fill="FFFFFF"/>
        <w:spacing w:before="188" w:beforeAutospacing="0" w:after="0" w:afterAutospacing="0" w:line="600" w:lineRule="exact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</w:p>
    <w:p w:rsidR="005565CE" w:rsidRDefault="005565CE">
      <w:pPr>
        <w:pStyle w:val="a5"/>
        <w:shd w:val="clear" w:color="auto" w:fill="FFFFFF"/>
        <w:spacing w:before="188" w:beforeAutospacing="0" w:after="0" w:afterAutospacing="0" w:line="600" w:lineRule="exact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contextualSpacing/>
        <w:jc w:val="both"/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  <w:t>附件</w:t>
      </w:r>
    </w:p>
    <w:p w:rsidR="005565CE" w:rsidRDefault="005565CE">
      <w:pPr>
        <w:pStyle w:val="a5"/>
        <w:shd w:val="clear" w:color="auto" w:fill="FFFFFF"/>
        <w:spacing w:before="188" w:beforeAutospacing="0" w:after="0" w:afterAutospacing="0" w:line="600" w:lineRule="exact"/>
        <w:contextualSpacing/>
        <w:jc w:val="center"/>
        <w:rPr>
          <w:rFonts w:ascii="Times New Roman" w:eastAsia="方正小标宋简体" w:hAnsi="Times New Roman" w:cs="Times New Roman"/>
          <w:color w:val="000000"/>
          <w:kern w:val="2"/>
          <w:sz w:val="32"/>
          <w:szCs w:val="32"/>
        </w:rPr>
      </w:pPr>
    </w:p>
    <w:p w:rsidR="005565CE" w:rsidRDefault="000E0048">
      <w:pPr>
        <w:pStyle w:val="a5"/>
        <w:shd w:val="clear" w:color="auto" w:fill="FFFFFF"/>
        <w:spacing w:before="0" w:beforeAutospacing="0" w:after="0" w:afterAutospacing="0" w:line="600" w:lineRule="exact"/>
        <w:contextualSpacing/>
        <w:jc w:val="center"/>
        <w:rPr>
          <w:rFonts w:ascii="Times New Roman" w:eastAsia="方正小标宋简体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吉林省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年农业主导品种和主推技术</w:t>
      </w:r>
    </w:p>
    <w:p w:rsidR="005565CE" w:rsidRDefault="005565CE">
      <w:pPr>
        <w:pStyle w:val="a5"/>
        <w:shd w:val="clear" w:color="auto" w:fill="FFFFFF"/>
        <w:spacing w:before="188" w:beforeAutospacing="0" w:after="0" w:afterAutospacing="0" w:line="600" w:lineRule="exact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CESI黑体-GB13000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CESI黑体-GB13000" w:hAnsi="Times New Roman" w:cs="Times New Roman"/>
          <w:color w:val="000000"/>
          <w:kern w:val="2"/>
          <w:sz w:val="32"/>
          <w:szCs w:val="32"/>
        </w:rPr>
        <w:t>一、主导品种（</w:t>
      </w:r>
      <w:r>
        <w:rPr>
          <w:rFonts w:ascii="Times New Roman" w:eastAsia="CESI黑体-GB13000" w:hAnsi="Times New Roman" w:cs="Times New Roman"/>
          <w:color w:val="000000"/>
          <w:kern w:val="2"/>
          <w:sz w:val="32"/>
          <w:szCs w:val="32"/>
        </w:rPr>
        <w:t>126</w:t>
      </w:r>
      <w:r>
        <w:rPr>
          <w:rFonts w:ascii="Times New Roman" w:eastAsia="CESI黑体-GB13000" w:hAnsi="Times New Roman" w:cs="Times New Roman"/>
          <w:color w:val="000000"/>
          <w:kern w:val="2"/>
          <w:sz w:val="32"/>
          <w:szCs w:val="32"/>
        </w:rPr>
        <w:t>个）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  <w:t>（一）玉米主导品种（</w:t>
      </w:r>
      <w:r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  <w:t>59</w:t>
      </w:r>
      <w:r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  <w:t>个）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中早熟区（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翔玉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878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、润民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科育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2028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366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、吉单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626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、吉云玉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506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、宏兴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909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中熟区（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禾育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132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、吉单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、吉单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953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、富民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985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、凤田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310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禾育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、兴辉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908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、德美禾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HX199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、美亚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、吉单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辽玉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号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、优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迪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919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禾育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165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D309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泽玉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8911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裕丰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801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天育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108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、润民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、吉科玉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899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天育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918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2300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、泽尔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沣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515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、乐盈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635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、吉单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436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中晚熟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晚熟区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吉单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509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598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天育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839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禾育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157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天育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729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、吉云玉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919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辽科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604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、先玉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1483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九单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182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利合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989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、德科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766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众盈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、富民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普达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010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亨达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776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翔玉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998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、天成美玉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、雷奥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1975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九单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199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、凤田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719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D805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京科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968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泽玉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517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、富民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98B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1669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Z658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  <w:lastRenderedPageBreak/>
        <w:t>（二）水稻主导品种（</w:t>
      </w:r>
      <w:r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  <w:t>34</w:t>
      </w:r>
      <w:r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  <w:t>个）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中早熟品种（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个）：农大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599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通禾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8101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九稻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325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188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中熟品种（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个）：吉农大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667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、中科发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号、通科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粳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330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粳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816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288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佳稻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通禾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829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粳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305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673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668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319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、长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粳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619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中晚熟品种（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通禾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885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通禾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868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九稻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617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粳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558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九稻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通禾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861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通禾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8501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通育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271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、通系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933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715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九稻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沅粳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787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晚熟品种（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个）：吉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粳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830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、通系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943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粳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837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东稻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862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  <w:t>（三）大豆主导品种（</w:t>
      </w:r>
      <w:r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  <w:t>33</w:t>
      </w:r>
      <w:r>
        <w:rPr>
          <w:rFonts w:ascii="Times New Roman" w:eastAsia="楷体_GB2312" w:hAnsi="Times New Roman" w:cs="Times New Roman"/>
          <w:color w:val="000000"/>
          <w:kern w:val="2"/>
          <w:sz w:val="32"/>
          <w:szCs w:val="32"/>
        </w:rPr>
        <w:t>个）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早熟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生态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区（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吉育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761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雁育豆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232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雁育豆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号、吉农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145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2516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九农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CE2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45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中早熟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生态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区（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长农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3512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206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310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303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长密豆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374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中熟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生态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区（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九农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403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通农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长农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39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161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、中吉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602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A27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、东生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118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414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pacing w:before="188" w:beforeAutospacing="0" w:after="0" w:afterAutospacing="0" w:line="60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中晚熟生态区（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个）：吉育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554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74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、吉农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75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。</w:t>
      </w:r>
    </w:p>
    <w:p w:rsidR="005565CE" w:rsidRDefault="000E0048">
      <w:pPr>
        <w:pStyle w:val="a5"/>
        <w:shd w:val="clear" w:color="auto" w:fill="FFFFFF"/>
        <w:snapToGrid w:val="0"/>
        <w:spacing w:before="0" w:beforeAutospacing="0" w:after="0" w:afterAutospacing="0" w:line="600" w:lineRule="exact"/>
        <w:ind w:firstLineChars="200" w:firstLine="640"/>
        <w:contextualSpacing/>
        <w:rPr>
          <w:rFonts w:ascii="Times New Roman" w:eastAsia="CESI黑体-GB13000" w:hAnsi="Times New Roman" w:cs="Times New Roman"/>
          <w:sz w:val="32"/>
          <w:szCs w:val="32"/>
        </w:rPr>
      </w:pPr>
      <w:r>
        <w:rPr>
          <w:rFonts w:ascii="Times New Roman" w:eastAsia="CESI黑体-GB13000" w:hAnsi="Times New Roman" w:cs="Times New Roman"/>
          <w:sz w:val="32"/>
          <w:szCs w:val="32"/>
        </w:rPr>
        <w:t>二、</w:t>
      </w:r>
      <w:r>
        <w:rPr>
          <w:rFonts w:ascii="Times New Roman" w:eastAsia="CESI黑体-GB13000" w:hAnsi="Times New Roman" w:cs="Times New Roman" w:hint="eastAsia"/>
          <w:sz w:val="32"/>
          <w:szCs w:val="32"/>
        </w:rPr>
        <w:t>十大重点主推技术（</w:t>
      </w:r>
      <w:r>
        <w:rPr>
          <w:rFonts w:ascii="Times New Roman" w:eastAsia="CESI黑体-GB13000" w:hAnsi="Times New Roman" w:cs="Times New Roman" w:hint="eastAsia"/>
          <w:sz w:val="32"/>
          <w:szCs w:val="32"/>
        </w:rPr>
        <w:t>10</w:t>
      </w:r>
      <w:r>
        <w:rPr>
          <w:rFonts w:ascii="Times New Roman" w:eastAsia="CESI黑体-GB13000" w:hAnsi="Times New Roman" w:cs="Times New Roman" w:hint="eastAsia"/>
          <w:sz w:val="32"/>
          <w:szCs w:val="32"/>
        </w:rPr>
        <w:t>项）</w:t>
      </w:r>
    </w:p>
    <w:tbl>
      <w:tblPr>
        <w:tblStyle w:val="a6"/>
        <w:tblW w:w="8475" w:type="dxa"/>
        <w:tblInd w:w="714" w:type="dxa"/>
        <w:tblLayout w:type="fixed"/>
        <w:tblLook w:val="04A0" w:firstRow="1" w:lastRow="0" w:firstColumn="1" w:lastColumn="0" w:noHBand="0" w:noVBand="1"/>
      </w:tblPr>
      <w:tblGrid>
        <w:gridCol w:w="696"/>
        <w:gridCol w:w="7779"/>
      </w:tblGrid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lastRenderedPageBreak/>
              <w:t>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半干旱区玉米水肥一体化高产高效栽培技术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玉米秸秆深翻还田地力提升技术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保护性耕作梨树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模式条耕播种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一体化技术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玉米病虫害一体化绿色防控技术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5.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盐碱地以稻治碱改土增粮关键技术</w:t>
            </w:r>
          </w:p>
        </w:tc>
      </w:tr>
      <w:tr w:rsidR="005565CE">
        <w:trPr>
          <w:trHeight w:val="9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6.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水稻机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插秧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同步侧深施肥技术</w:t>
            </w:r>
            <w:proofErr w:type="gramEnd"/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7.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大豆优质安全丰产高效生产技术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8.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非林地绿色人参种植技术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9.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font11"/>
                <w:rFonts w:ascii="Times New Roman" w:cs="Times New Roman" w:hint="default"/>
                <w:sz w:val="32"/>
                <w:szCs w:val="32"/>
                <w:lang w:bidi="ar"/>
              </w:rPr>
              <w:t>肉牛高效扩繁技术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10.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Style w:val="font11"/>
                <w:rFonts w:ascii="Times New Roman" w:cs="Times New Roman" w:hint="default"/>
                <w:sz w:val="32"/>
                <w:szCs w:val="32"/>
                <w:lang w:bidi="ar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稻渔综合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种养技术</w:t>
            </w:r>
          </w:p>
        </w:tc>
      </w:tr>
    </w:tbl>
    <w:p w:rsidR="005565CE" w:rsidRDefault="000E0048">
      <w:pPr>
        <w:pStyle w:val="a5"/>
        <w:shd w:val="clear" w:color="auto" w:fill="FFFFFF"/>
        <w:snapToGrid w:val="0"/>
        <w:spacing w:before="0" w:beforeAutospacing="0" w:after="0" w:afterAutospacing="0" w:line="600" w:lineRule="exact"/>
        <w:ind w:firstLineChars="200" w:firstLine="640"/>
        <w:contextualSpacing/>
        <w:rPr>
          <w:rFonts w:ascii="Times New Roman" w:eastAsia="CESI黑体-GB13000" w:hAnsi="Times New Roman" w:cs="Times New Roman"/>
          <w:sz w:val="32"/>
          <w:szCs w:val="32"/>
        </w:rPr>
      </w:pPr>
      <w:r>
        <w:rPr>
          <w:rFonts w:ascii="Times New Roman" w:eastAsia="CESI黑体-GB13000" w:hAnsi="Times New Roman" w:cs="Times New Roman" w:hint="eastAsia"/>
          <w:sz w:val="32"/>
          <w:szCs w:val="32"/>
        </w:rPr>
        <w:t>三、主</w:t>
      </w:r>
      <w:r>
        <w:rPr>
          <w:rFonts w:ascii="Times New Roman" w:eastAsia="CESI黑体-GB13000" w:hAnsi="Times New Roman" w:cs="Times New Roman"/>
          <w:sz w:val="32"/>
          <w:szCs w:val="32"/>
        </w:rPr>
        <w:t>推</w:t>
      </w:r>
      <w:r>
        <w:rPr>
          <w:rFonts w:ascii="Times New Roman" w:eastAsia="CESI黑体-GB13000" w:hAnsi="Times New Roman" w:cs="Times New Roman" w:hint="eastAsia"/>
          <w:sz w:val="32"/>
          <w:szCs w:val="32"/>
        </w:rPr>
        <w:t>实用</w:t>
      </w:r>
      <w:r>
        <w:rPr>
          <w:rFonts w:ascii="Times New Roman" w:eastAsia="CESI黑体-GB13000" w:hAnsi="Times New Roman" w:cs="Times New Roman"/>
          <w:sz w:val="32"/>
          <w:szCs w:val="32"/>
        </w:rPr>
        <w:t>技术（</w:t>
      </w:r>
      <w:r>
        <w:rPr>
          <w:rFonts w:ascii="Times New Roman" w:eastAsia="CESI黑体-GB13000" w:hAnsi="Times New Roman" w:cs="Times New Roman" w:hint="eastAsia"/>
          <w:sz w:val="32"/>
          <w:szCs w:val="32"/>
        </w:rPr>
        <w:t>75</w:t>
      </w:r>
      <w:r>
        <w:rPr>
          <w:rFonts w:ascii="Times New Roman" w:eastAsia="CESI黑体-GB13000" w:hAnsi="Times New Roman" w:cs="Times New Roman"/>
          <w:sz w:val="32"/>
          <w:szCs w:val="32"/>
        </w:rPr>
        <w:t>项）</w:t>
      </w:r>
    </w:p>
    <w:tbl>
      <w:tblPr>
        <w:tblStyle w:val="a6"/>
        <w:tblW w:w="8475" w:type="dxa"/>
        <w:tblInd w:w="714" w:type="dxa"/>
        <w:tblLayout w:type="fixed"/>
        <w:tblLook w:val="04A0" w:firstRow="1" w:lastRow="0" w:firstColumn="1" w:lastColumn="0" w:noHBand="0" w:noVBand="1"/>
      </w:tblPr>
      <w:tblGrid>
        <w:gridCol w:w="696"/>
        <w:gridCol w:w="7779"/>
      </w:tblGrid>
      <w:tr w:rsidR="005565CE">
        <w:tc>
          <w:tcPr>
            <w:tcW w:w="8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snapToGrid w:val="0"/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楷体_GB2312"/>
                <w:sz w:val="32"/>
                <w:szCs w:val="32"/>
              </w:rPr>
              <w:t>（一）粮食作物</w:t>
            </w:r>
            <w:r>
              <w:rPr>
                <w:rFonts w:eastAsia="楷体_GB2312" w:hint="eastAsia"/>
                <w:sz w:val="32"/>
                <w:szCs w:val="32"/>
              </w:rPr>
              <w:t>类</w:t>
            </w:r>
            <w:r>
              <w:rPr>
                <w:rFonts w:eastAsia="楷体_GB2312"/>
                <w:sz w:val="32"/>
                <w:szCs w:val="32"/>
              </w:rPr>
              <w:t>（</w:t>
            </w:r>
            <w:r>
              <w:rPr>
                <w:rFonts w:eastAsia="楷体_GB2312" w:hint="eastAsia"/>
                <w:sz w:val="32"/>
                <w:szCs w:val="32"/>
              </w:rPr>
              <w:t>29</w:t>
            </w:r>
            <w:r>
              <w:rPr>
                <w:rFonts w:eastAsia="楷体_GB2312"/>
                <w:sz w:val="32"/>
                <w:szCs w:val="32"/>
              </w:rPr>
              <w:t>项）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玉米宽窄行交替休闲种植技术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中部雨养区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吨粮田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强化栽培技术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玉米全程机械化栽培技术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玉米和杂粮健康食品加工关键技术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  <w:lang w:bidi="ar"/>
              </w:rPr>
              <w:t>—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大豆复合种植生产技术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6.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水稻钵型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毯状苗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育插秧技术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7.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水稻病害综合防控技术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8.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水稻抗低温减灾生产技术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9.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水稻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三减一增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分蘖模式栽培技术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10.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水稻重大病虫害全程绿色防控技术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lastRenderedPageBreak/>
              <w:t>11.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水稻机械覆膜绿色生产技术</w:t>
            </w:r>
          </w:p>
        </w:tc>
      </w:tr>
      <w:tr w:rsidR="005565CE">
        <w:trPr>
          <w:trHeight w:val="9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粳稻全程全营养轻简化培肥增效生产技术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水稻机械直播生产技术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米豆轮作条件下大豆高产栽培技术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15.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大豆密植高产栽培技术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16.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大豆田杂草高效防控技术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17.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大豆多层次加工技术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18.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载白僵菌赤眼蜂防治大豆食心虫技术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19.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马铃薯膜下滴灌水肥一体化高效生产技术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20.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甘薯水肥一体化栽培技术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马铃薯玉米秸秆覆盖免耕栽培技术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花生水肥一体化密植高产高效栽培技术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粒用高粱滴灌水肥一体化栽培技术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优质高效谷子栽培技术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25.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谷子膜下滴灌水肥一体化配套栽培技术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26.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下茬复种燕麦草栽培技术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27.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向日葵菌核病防控技术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28.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植保无人机航化作业施药技术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29.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主粮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作物机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收减损技术</w:t>
            </w:r>
          </w:p>
        </w:tc>
      </w:tr>
      <w:tr w:rsidR="005565CE">
        <w:tc>
          <w:tcPr>
            <w:tcW w:w="8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楷体_GB2312"/>
                <w:sz w:val="32"/>
                <w:szCs w:val="32"/>
              </w:rPr>
              <w:t>（二）耕地保护</w:t>
            </w:r>
            <w:r>
              <w:rPr>
                <w:rFonts w:eastAsia="楷体_GB2312" w:hint="eastAsia"/>
                <w:sz w:val="32"/>
                <w:szCs w:val="32"/>
              </w:rPr>
              <w:t>类</w:t>
            </w:r>
            <w:r>
              <w:rPr>
                <w:rFonts w:eastAsia="楷体_GB2312"/>
                <w:sz w:val="32"/>
                <w:szCs w:val="32"/>
              </w:rPr>
              <w:t>（</w:t>
            </w:r>
            <w:r>
              <w:rPr>
                <w:rFonts w:eastAsia="楷体_GB2312" w:hint="eastAsia"/>
                <w:sz w:val="32"/>
                <w:szCs w:val="32"/>
              </w:rPr>
              <w:t>16</w:t>
            </w:r>
            <w:r>
              <w:rPr>
                <w:rFonts w:eastAsia="楷体_GB2312"/>
                <w:sz w:val="32"/>
                <w:szCs w:val="32"/>
              </w:rPr>
              <w:t>项）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玉米秸秆全量条带覆盖还田技术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玉米秸秆覆盖还田条耕种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植技术</w:t>
            </w:r>
            <w:proofErr w:type="gramEnd"/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lastRenderedPageBreak/>
              <w:t>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水稻秸秆秋搅浆还田技术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秸秆还田下的玉米高产与养分高效技术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玉米秸秆田间肥料化沃土培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肥技术</w:t>
            </w:r>
            <w:proofErr w:type="gramEnd"/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6.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农作物秸秆黄贮发酵新技术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7.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w w:val="95"/>
                <w:kern w:val="0"/>
                <w:sz w:val="32"/>
                <w:szCs w:val="32"/>
                <w:lang w:bidi="ar"/>
              </w:rPr>
              <w:t>农作物秸秆</w:t>
            </w:r>
            <w:proofErr w:type="gramStart"/>
            <w:r>
              <w:rPr>
                <w:rFonts w:eastAsia="仿宋_GB2312"/>
                <w:color w:val="000000"/>
                <w:w w:val="95"/>
                <w:kern w:val="0"/>
                <w:sz w:val="32"/>
                <w:szCs w:val="32"/>
                <w:lang w:bidi="ar"/>
              </w:rPr>
              <w:t>与粪污等</w:t>
            </w:r>
            <w:proofErr w:type="gramEnd"/>
            <w:r>
              <w:rPr>
                <w:rFonts w:eastAsia="仿宋_GB2312"/>
                <w:color w:val="000000"/>
                <w:w w:val="95"/>
                <w:kern w:val="0"/>
                <w:sz w:val="32"/>
                <w:szCs w:val="32"/>
                <w:lang w:bidi="ar"/>
              </w:rPr>
              <w:t>农业农村废弃物资源化利用技术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8.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雨养区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玉米吨粮田土壤培育技术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9.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玉米化肥减量增效技术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10.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抗旱保水剂节水技术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盐碱地水稻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两减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绿色栽培技术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碱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茅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改良重度盐碱地技术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苏打盐碱地羊草人工种植改土增效技术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盐碱地大豆种植高产栽培技术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15.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苏打盐碱地水稻抗逆除障可持续稳产技术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16.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盐碱地高淀粉酿造高粱高效栽培技术</w:t>
            </w:r>
          </w:p>
        </w:tc>
      </w:tr>
      <w:tr w:rsidR="005565CE">
        <w:tc>
          <w:tcPr>
            <w:tcW w:w="8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（三）园艺特产</w:t>
            </w:r>
            <w:r>
              <w:rPr>
                <w:rFonts w:eastAsia="楷体_GB2312" w:hint="eastAsia"/>
                <w:color w:val="000000"/>
                <w:kern w:val="0"/>
                <w:sz w:val="32"/>
                <w:szCs w:val="32"/>
                <w:lang w:bidi="ar"/>
              </w:rPr>
              <w:t>类</w:t>
            </w: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eastAsia="楷体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项）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食用菌工厂精准化生产技术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冬储菜与瓜类复种高效栽培技术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保护地菜豆安全高效栽培技术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菜豆露地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齿形垄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地膜覆盖栽培技术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棚室番茄秋延后提质增效轻简化栽培技术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6.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番茄潜叶蛾绿色防控技术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7.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露地西瓜轻简化栽培与水肥药高效利用技术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lastRenderedPageBreak/>
              <w:t>8.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甜瓜简约化绿色高产栽培技术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9.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蓝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莓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全产业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链生产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10.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日光温室草莓越冬高效生产技术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葡萄高光效树形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叶幕形技术</w:t>
            </w:r>
            <w:proofErr w:type="gramEnd"/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北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冰红冰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葡萄优质生产栽培技术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软枣猕猴桃优质绿色生产技术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李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  <w:lang w:bidi="ar"/>
              </w:rPr>
              <w:t>子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优质高效栽培技术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15.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大果榛子优质高效种植核心技术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16.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长白山灵芝保护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地设施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高效栽培技术</w:t>
            </w:r>
          </w:p>
        </w:tc>
      </w:tr>
      <w:tr w:rsidR="005565CE">
        <w:tc>
          <w:tcPr>
            <w:tcW w:w="8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（四）畜牧水产</w:t>
            </w:r>
            <w:r>
              <w:rPr>
                <w:rFonts w:eastAsia="楷体_GB2312" w:hint="eastAsia"/>
                <w:color w:val="000000"/>
                <w:kern w:val="0"/>
                <w:sz w:val="32"/>
                <w:szCs w:val="32"/>
                <w:lang w:bidi="ar"/>
              </w:rPr>
              <w:t>类</w:t>
            </w: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eastAsia="楷体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项）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高值高质牛肉开发与质量控制技术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牛主要病毒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病综合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防控技术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肉羊配套经济杂交技术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特色黑猪高效繁殖技术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林下生态养鸡技术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6.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玉米田间养鹅种养结合生态循环技术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7.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柞蚕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蛹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虫草工厂化栽培技术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8.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柞蚕微粒子病检测技术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9.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三倍体虹鳟养殖技术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10.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细鳞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鲑稚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鱼培育技术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11.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美洲红点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鲑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人工养殖技术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12.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大型湖库大银鱼高产生态养殖技术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lastRenderedPageBreak/>
              <w:t>13.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中华绒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螯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蟹成蟹稻田健康养殖技术</w:t>
            </w:r>
          </w:p>
        </w:tc>
      </w:tr>
      <w:tr w:rsidR="005565C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14.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5CE" w:rsidRDefault="000E0048">
            <w:pPr>
              <w:widowControl/>
              <w:textAlignment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蟹稻共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作优质高效技术</w:t>
            </w:r>
          </w:p>
        </w:tc>
      </w:tr>
    </w:tbl>
    <w:p w:rsidR="005565CE" w:rsidRDefault="005565CE">
      <w:pPr>
        <w:ind w:firstLine="600"/>
        <w:rPr>
          <w:rFonts w:eastAsia="仿宋_GB2312"/>
          <w:sz w:val="32"/>
          <w:szCs w:val="32"/>
        </w:rPr>
      </w:pPr>
    </w:p>
    <w:sectPr w:rsidR="005565C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48" w:rsidRDefault="000E0048">
      <w:r>
        <w:separator/>
      </w:r>
    </w:p>
  </w:endnote>
  <w:endnote w:type="continuationSeparator" w:id="0">
    <w:p w:rsidR="000E0048" w:rsidRDefault="000E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黑体-GB13000">
    <w:altName w:val="黑体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CE" w:rsidRDefault="000E004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65CE" w:rsidRDefault="000E004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22A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565CE" w:rsidRDefault="000E004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22A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48" w:rsidRDefault="000E0048">
      <w:r>
        <w:separator/>
      </w:r>
    </w:p>
  </w:footnote>
  <w:footnote w:type="continuationSeparator" w:id="0">
    <w:p w:rsidR="000E0048" w:rsidRDefault="000E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TIwZWVjZjNjNGVlZTFmOTFkMTY0YjZlODAzMWYifQ=="/>
  </w:docVars>
  <w:rsids>
    <w:rsidRoot w:val="005565CE"/>
    <w:rsid w:val="000E0048"/>
    <w:rsid w:val="00522A37"/>
    <w:rsid w:val="005565CE"/>
    <w:rsid w:val="00C40BF6"/>
    <w:rsid w:val="118E5E00"/>
    <w:rsid w:val="26AF3180"/>
    <w:rsid w:val="57B86859"/>
    <w:rsid w:val="5FFFF560"/>
    <w:rsid w:val="68B22A82"/>
    <w:rsid w:val="691FF1D8"/>
    <w:rsid w:val="6CAEA676"/>
    <w:rsid w:val="6E6123C1"/>
    <w:rsid w:val="6FFE9BBA"/>
    <w:rsid w:val="77CF081C"/>
    <w:rsid w:val="79DED858"/>
    <w:rsid w:val="7A7F674E"/>
    <w:rsid w:val="7EEECFAD"/>
    <w:rsid w:val="7FFF8FCF"/>
    <w:rsid w:val="94EF0E6D"/>
    <w:rsid w:val="A5B9DFA5"/>
    <w:rsid w:val="BCC714A5"/>
    <w:rsid w:val="BCFAB73F"/>
    <w:rsid w:val="DFBF2D9D"/>
    <w:rsid w:val="DFEFFB29"/>
    <w:rsid w:val="DFF8FDFC"/>
    <w:rsid w:val="DFFD52DE"/>
    <w:rsid w:val="EEFF941D"/>
    <w:rsid w:val="F1DF2E03"/>
    <w:rsid w:val="F7FDBF14"/>
    <w:rsid w:val="FBFEA26E"/>
    <w:rsid w:val="FC2B9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ind w:leftChars="400" w:left="40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ind w:leftChars="400" w:left="40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dxy</cp:lastModifiedBy>
  <cp:revision>3</cp:revision>
  <cp:lastPrinted>2023-12-22T03:22:00Z</cp:lastPrinted>
  <dcterms:created xsi:type="dcterms:W3CDTF">2023-12-21T13:17:00Z</dcterms:created>
  <dcterms:modified xsi:type="dcterms:W3CDTF">2024-01-17T00:56:00Z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B2B54A537E054ACC8E64362517A73C4D_12</vt:lpwstr>
  </property>
</Properties>
</file>